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snapToGrid w:val="0"/>
          <w:kern w:val="0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Cs w:val="32"/>
        </w:rPr>
        <w:t>附件</w:t>
      </w:r>
      <w:r>
        <w:rPr>
          <w:rFonts w:ascii="黑体" w:hAnsi="黑体" w:eastAsia="黑体" w:cs="Times New Roman"/>
          <w:snapToGrid w:val="0"/>
          <w:kern w:val="0"/>
          <w:szCs w:val="32"/>
        </w:rPr>
        <w:t>8</w:t>
      </w:r>
    </w:p>
    <w:p>
      <w:pPr>
        <w:adjustRightInd w:val="0"/>
        <w:snapToGrid w:val="0"/>
        <w:spacing w:line="600" w:lineRule="atLeast"/>
        <w:jc w:val="both"/>
        <w:rPr>
          <w:rFonts w:ascii="宋体" w:hAnsi="宋体" w:eastAsia="宋体" w:cs="Times New Roman"/>
          <w:b/>
          <w:bCs/>
          <w:snapToGrid w:val="0"/>
          <w:kern w:val="0"/>
          <w:sz w:val="36"/>
          <w:szCs w:val="36"/>
        </w:rPr>
      </w:pPr>
    </w:p>
    <w:p>
      <w:pPr>
        <w:adjustRightInd w:val="0"/>
        <w:snapToGrid w:val="0"/>
        <w:spacing w:line="600" w:lineRule="atLeast"/>
        <w:jc w:val="center"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</w:t>
      </w:r>
      <w:r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  <w:t>工作绩效评价办法</w:t>
      </w:r>
    </w:p>
    <w:p>
      <w:pPr>
        <w:adjustRightInd w:val="0"/>
        <w:snapToGrid w:val="0"/>
        <w:spacing w:line="600" w:lineRule="atLeast"/>
        <w:ind w:firstLine="533" w:firstLineChars="166"/>
        <w:jc w:val="left"/>
        <w:rPr>
          <w:rFonts w:ascii="Times New Roman" w:hAnsi="Times New Roman" w:eastAsia="仿宋_GB2312" w:cs="Times New Roman"/>
          <w:b/>
          <w:bCs/>
          <w:snapToGrid w:val="0"/>
          <w:kern w:val="0"/>
          <w:szCs w:val="32"/>
        </w:rPr>
      </w:pP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第一条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为加强“粮改饲”工作监督管理，确保政策实施效果，建立健全激励约束机制，按照农业部《粮改饲工作绩效评价办法》要求，制定本办法。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第二条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绩效评价以目标任务为导向，按照突出重点、注重实效、客观公平的原则，采取定量评价与定性评价结合、县级自评与现场抽验结合的方式进行。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cs="Times New Roman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第三条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绩效评价工作由省畜牧部门和省财政部门共同组织实施，评价对象为县级畜牧部门和财政部门。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第四条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绩效评价内容包括投入和过程、产出、效果和扣分项四个方面。具体评分标准见《2023“粮改饲”工作绩效评价指标表》。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cs="Times New Roman"/>
          <w:b/>
          <w:bCs/>
          <w:snapToGrid w:val="0"/>
          <w:kern w:val="0"/>
          <w:szCs w:val="32"/>
        </w:rPr>
      </w:pPr>
      <w:r>
        <w:rPr>
          <w:rFonts w:hint="eastAsia" w:cs="Times New Roman"/>
          <w:b/>
          <w:bCs/>
          <w:snapToGrid w:val="0"/>
          <w:kern w:val="0"/>
          <w:szCs w:val="32"/>
        </w:rPr>
        <w:t>（一）投入和过程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1.组织领导。建立“粮改饲”工作领导协调机制，职责清晰，任务明确；政府重视，将“粮改饲”列入畜牧部门年度重点工作。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2.资金管理。资金管理制度健全，资金使用符合有关要求，具备拨付条件的补助资金全部核算发放到位。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3.项目管理。制定实施方案并按时报送省畜牧部门和财政部门备案，方案符合“粮改饲”总体思路和原则、可操作性强；制定监督管理制度，按计划组织督导检查和工作评价，按要求及时报送工作进度信息；组织开展技术推广服务和培训，组织有关单位深入一线指导生产作业。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4.宣传总结。重视宣传工作，积极组织媒体进行报道；及时总结成功模式，挖掘亮点、树立典型，按要求报送绩效自评报告和工作总结。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5.机制创新。在财政支持、产业扶贫等政策联动上有新突破；在激发收贮主体参与积极性上有新方式；在促进一二三产业融合、种养两端绿色协调发展上有新手段；在“粮改饲”推进工作方法、制度机制等方面有创新，效果好、有实例、可复制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cs="Times New Roman"/>
          <w:b/>
          <w:bCs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（</w:t>
      </w:r>
      <w:r>
        <w:rPr>
          <w:rFonts w:hint="eastAsia" w:cs="Times New Roman"/>
          <w:b/>
          <w:bCs/>
          <w:snapToGrid w:val="0"/>
          <w:kern w:val="0"/>
          <w:szCs w:val="32"/>
        </w:rPr>
        <w:t>二</w:t>
      </w:r>
      <w:r>
        <w:rPr>
          <w:rFonts w:cs="Times New Roman"/>
          <w:b/>
          <w:bCs/>
          <w:snapToGrid w:val="0"/>
          <w:kern w:val="0"/>
          <w:szCs w:val="32"/>
        </w:rPr>
        <w:t>）</w:t>
      </w:r>
      <w:r>
        <w:rPr>
          <w:rFonts w:hint="eastAsia" w:cs="Times New Roman"/>
          <w:b/>
          <w:bCs/>
          <w:snapToGrid w:val="0"/>
          <w:kern w:val="0"/>
          <w:szCs w:val="32"/>
        </w:rPr>
        <w:t>产出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1.数量指标。完成饲草料收储量任务、完成“粮改饲”面积任务。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2.质量指标。项目地区规模化养殖场户（肉羊年出栏100只以上、肉牛年出栏50头以上、奶牛年存栏100头以上）和专业收贮主体收贮量占收贮总量、专业收贮主体收贮量较上年度提高比例；收贮主体通过流转土地自种、与种植户签订订单等方式收贮量占总收贮量比例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cs="Times New Roman"/>
          <w:b/>
          <w:bCs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（</w:t>
      </w:r>
      <w:r>
        <w:rPr>
          <w:rFonts w:hint="eastAsia" w:cs="Times New Roman"/>
          <w:b/>
          <w:bCs/>
          <w:snapToGrid w:val="0"/>
          <w:kern w:val="0"/>
          <w:szCs w:val="32"/>
        </w:rPr>
        <w:t>三</w:t>
      </w:r>
      <w:r>
        <w:rPr>
          <w:rFonts w:cs="Times New Roman"/>
          <w:b/>
          <w:bCs/>
          <w:snapToGrid w:val="0"/>
          <w:kern w:val="0"/>
          <w:szCs w:val="32"/>
        </w:rPr>
        <w:t>）</w:t>
      </w:r>
      <w:r>
        <w:rPr>
          <w:rFonts w:hint="eastAsia" w:cs="Times New Roman"/>
          <w:b/>
          <w:bCs/>
          <w:snapToGrid w:val="0"/>
          <w:kern w:val="0"/>
          <w:szCs w:val="32"/>
        </w:rPr>
        <w:t>效果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1.经济效益指标。种植优质青贮饲草料，亩均纯收入较种植籽粒玉米提高比例；使用优质青贮饲草料，与未使用前或与同地区未使用的相比，综合饲料成本下降比例。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2.服务对象满意度。相关收贮主体、种植户、养殖户对“粮改饲”政策的满意程度。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cs="Times New Roman"/>
          <w:b/>
          <w:bCs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（四）</w:t>
      </w:r>
      <w:r>
        <w:rPr>
          <w:rFonts w:hint="eastAsia" w:cs="Times New Roman"/>
          <w:b/>
          <w:bCs/>
          <w:snapToGrid w:val="0"/>
          <w:kern w:val="0"/>
          <w:szCs w:val="32"/>
        </w:rPr>
        <w:t>违规违纪</w:t>
      </w:r>
    </w:p>
    <w:p>
      <w:pPr>
        <w:adjustRightInd w:val="0"/>
        <w:snapToGrid w:val="0"/>
        <w:spacing w:line="600" w:lineRule="atLeast"/>
        <w:ind w:firstLine="531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Cs w:val="32"/>
        </w:rPr>
        <w:t>项目实施过程中，被监察、审计、财政监督等机构查出存在违规违纪行为的，一次性扣15-30分，造成严重负面影响的，评分为0。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第五条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绩效评价按以下程序开展：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（一）</w:t>
      </w:r>
      <w:r>
        <w:rPr>
          <w:rFonts w:hint="eastAsia" w:cs="Times New Roman"/>
          <w:b/>
          <w:bCs/>
          <w:snapToGrid w:val="0"/>
          <w:kern w:val="0"/>
          <w:szCs w:val="32"/>
        </w:rPr>
        <w:t>县</w:t>
      </w:r>
      <w:r>
        <w:rPr>
          <w:rFonts w:cs="Times New Roman"/>
          <w:b/>
          <w:bCs/>
          <w:snapToGrid w:val="0"/>
          <w:kern w:val="0"/>
          <w:szCs w:val="32"/>
        </w:rPr>
        <w:t>级自查。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县级畜牧部门和财政部门按照评价指标内容和评分标准，进行全面自查和自评打分，提交《粮改饲工作绩效评价指标表》、证明材料和自评报告。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（二）</w:t>
      </w:r>
      <w:r>
        <w:rPr>
          <w:rFonts w:hint="eastAsia" w:cs="Times New Roman"/>
          <w:b/>
          <w:bCs/>
          <w:snapToGrid w:val="0"/>
          <w:kern w:val="0"/>
          <w:szCs w:val="32"/>
        </w:rPr>
        <w:t>省级核</w:t>
      </w:r>
      <w:r>
        <w:rPr>
          <w:rFonts w:cs="Times New Roman"/>
          <w:b/>
          <w:bCs/>
          <w:snapToGrid w:val="0"/>
          <w:kern w:val="0"/>
          <w:szCs w:val="32"/>
        </w:rPr>
        <w:t>查。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省畜牧业管理局、省畜牧总站及专家组成评价组，对县级自评材料进行集中检查核实。随机抽查部分项目县（市、区）。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（三）综合评价。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评价组综合考虑自评打分、自评报告等材料、工作总结以及实地检查等情况，按照绩效评价标准进行打分。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第六条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县级畜牧部门和财政部门对提供材料和数据的真实性、准确性负责。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仿宋" w:hAnsi="仿宋" w:eastAsia="仿宋" w:cs="仿宋"/>
          <w:snapToGrid w:val="0"/>
          <w:kern w:val="0"/>
          <w:szCs w:val="32"/>
        </w:rPr>
      </w:pPr>
      <w:r>
        <w:rPr>
          <w:rFonts w:cs="Times New Roman"/>
          <w:b/>
          <w:bCs/>
          <w:snapToGrid w:val="0"/>
          <w:kern w:val="0"/>
          <w:szCs w:val="32"/>
        </w:rPr>
        <w:t>第七条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县级应当参照本办法，结合实际制定“粮改饲”工作绩效评价方案，对项目县（市、区）开展绩效评价。</w:t>
      </w:r>
    </w:p>
    <w:p>
      <w:pPr>
        <w:adjustRightInd w:val="0"/>
        <w:snapToGrid w:val="0"/>
        <w:spacing w:line="600" w:lineRule="atLeast"/>
        <w:ind w:firstLine="533" w:firstLineChars="166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cs="Times New Roman"/>
          <w:b/>
          <w:bCs/>
          <w:snapToGrid w:val="0"/>
          <w:kern w:val="0"/>
          <w:szCs w:val="32"/>
        </w:rPr>
        <w:t>第八条</w:t>
      </w:r>
      <w:r>
        <w:rPr>
          <w:rFonts w:hint="eastAsia" w:cs="Times New Roman"/>
          <w:b/>
          <w:bCs/>
          <w:snapToGrid w:val="0"/>
          <w:kern w:val="0"/>
          <w:szCs w:val="32"/>
        </w:rPr>
        <w:t xml:space="preserve">  </w:t>
      </w:r>
      <w:r>
        <w:rPr>
          <w:rFonts w:hint="eastAsia" w:ascii="仿宋" w:hAnsi="仿宋" w:eastAsia="仿宋" w:cs="仿宋"/>
          <w:snapToGrid w:val="0"/>
          <w:kern w:val="0"/>
          <w:szCs w:val="32"/>
        </w:rPr>
        <w:t>本办法由省畜牧业管理局和省财政厅负责解释，自印发之日起施行。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62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2023-07-27T07:06:41Z</dcterms:created>
  <dc:creator>Administrator</dc:creator>
  <cp:lastModifiedBy>Administrator</cp:lastModifiedBy>
  <dcterms:modified xsi:type="dcterms:W3CDTF">2023-07-27T07:06:58Z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