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Times New Roman"/>
          <w:snapToGrid w:val="0"/>
          <w:kern w:val="0"/>
          <w:szCs w:val="32"/>
          <w:lang w:eastAsia="zh-CN"/>
        </w:rPr>
      </w:pPr>
      <w:r>
        <w:rPr>
          <w:rFonts w:ascii="黑体" w:hAnsi="黑体" w:eastAsia="黑体" w:cs="Times New Roman"/>
          <w:snapToGrid w:val="0"/>
          <w:kern w:val="0"/>
          <w:szCs w:val="32"/>
        </w:rPr>
        <w:t>附件</w:t>
      </w:r>
      <w:r>
        <w:rPr>
          <w:rFonts w:hint="eastAsia" w:ascii="黑体" w:hAnsi="黑体" w:eastAsia="黑体" w:cs="Times New Roman"/>
          <w:snapToGrid w:val="0"/>
          <w:kern w:val="0"/>
          <w:szCs w:val="32"/>
          <w:lang w:val="en-US" w:eastAsia="zh-CN"/>
        </w:rPr>
        <w:t>7</w:t>
      </w:r>
    </w:p>
    <w:p>
      <w:pPr>
        <w:adjustRightInd w:val="0"/>
        <w:snapToGrid w:val="0"/>
        <w:spacing w:line="600" w:lineRule="atLeast"/>
        <w:jc w:val="center"/>
        <w:rPr>
          <w:rFonts w:ascii="宋体" w:hAnsi="宋体" w:eastAsia="宋体" w:cs="宋体"/>
          <w:b/>
          <w:bCs/>
          <w:snapToGrid w:val="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44"/>
          <w:szCs w:val="44"/>
        </w:rPr>
        <w:t>2023年“粮改饲”政策绩效目标评价表</w:t>
      </w:r>
    </w:p>
    <w:tbl>
      <w:tblPr>
        <w:tblStyle w:val="4"/>
        <w:tblW w:w="92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849"/>
        <w:gridCol w:w="848"/>
        <w:gridCol w:w="142"/>
        <w:gridCol w:w="1131"/>
        <w:gridCol w:w="142"/>
        <w:gridCol w:w="495"/>
        <w:gridCol w:w="301"/>
        <w:gridCol w:w="1047"/>
        <w:gridCol w:w="233"/>
        <w:gridCol w:w="18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>项目</w:t>
            </w:r>
          </w:p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>名称</w:t>
            </w:r>
          </w:p>
        </w:tc>
        <w:tc>
          <w:tcPr>
            <w:tcW w:w="815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>“粮改饲”政策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>中央主管部门</w:t>
            </w:r>
          </w:p>
        </w:tc>
        <w:tc>
          <w:tcPr>
            <w:tcW w:w="815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>财政部、农业部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>地方主管部门</w:t>
            </w:r>
          </w:p>
        </w:tc>
        <w:tc>
          <w:tcPr>
            <w:tcW w:w="31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>省财政厅 省畜牧业管理局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>资金使用</w:t>
            </w:r>
          </w:p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>单位</w:t>
            </w:r>
          </w:p>
        </w:tc>
        <w:tc>
          <w:tcPr>
            <w:tcW w:w="31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>XXX县（市、区）畜牧业管理</w:t>
            </w:r>
          </w:p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>（农业农村）局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>资金</w:t>
            </w:r>
          </w:p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>情况</w:t>
            </w:r>
          </w:p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>全年预算数</w:t>
            </w:r>
          </w:p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>（A）</w:t>
            </w:r>
          </w:p>
        </w:tc>
        <w:tc>
          <w:tcPr>
            <w:tcW w:w="17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>全年执行数</w:t>
            </w:r>
          </w:p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>（B）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>预算执行率</w:t>
            </w:r>
          </w:p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>（B/A</w:t>
            </w:r>
            <w:r>
              <w:rPr>
                <w:rFonts w:cs="Times New Roman"/>
                <w:snapToGrid w:val="0"/>
                <w:kern w:val="0"/>
                <w:sz w:val="21"/>
                <w:szCs w:val="21"/>
              </w:rPr>
              <w:t>×</w:t>
            </w: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>100%)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>年度资金总额：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>其中：中央财政资金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>省级财政资金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>市县财政资金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>总体目标完成情况</w:t>
            </w:r>
          </w:p>
        </w:tc>
        <w:tc>
          <w:tcPr>
            <w:tcW w:w="3112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>总体目标</w:t>
            </w:r>
          </w:p>
        </w:tc>
        <w:tc>
          <w:tcPr>
            <w:tcW w:w="50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>全年实际完成情况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1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1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>推动种植结构向“粮、经、饲、草”统筹方向转变，构建种养结合、粮草兼顾的新型农牧业结构，促进草食畜牧业发展和农牧民增产增收</w:t>
            </w:r>
          </w:p>
        </w:tc>
        <w:tc>
          <w:tcPr>
            <w:tcW w:w="50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2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>一级</w:t>
            </w:r>
          </w:p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>指标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>二级</w:t>
            </w:r>
          </w:p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>指标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>三级</w:t>
            </w:r>
          </w:p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>指标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>全年实际</w:t>
            </w:r>
          </w:p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>未完成原因和改进措施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1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848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>粮改饲结构调整面积</w:t>
            </w:r>
          </w:p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>（万亩）</w:t>
            </w:r>
          </w:p>
        </w:tc>
        <w:tc>
          <w:tcPr>
            <w:tcW w:w="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 xml:space="preserve">≥ </w:t>
            </w:r>
            <w:r>
              <w:rPr>
                <w:rFonts w:cs="Times New Roman"/>
                <w:snapToGrid w:val="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>说明</w:t>
            </w:r>
          </w:p>
        </w:tc>
        <w:tc>
          <w:tcPr>
            <w:tcW w:w="815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1"/>
                <w:szCs w:val="21"/>
              </w:rPr>
              <w:t>请在此处简要说明中央巡视、各级审计和财政监督中发现的问题及其所涉及的金额，如没有请填无。</w:t>
            </w:r>
          </w:p>
        </w:tc>
      </w:tr>
    </w:tbl>
    <w:p>
      <w:pPr>
        <w:spacing w:line="300" w:lineRule="exact"/>
        <w:rPr>
          <w:rFonts w:hint="eastAsia" w:ascii="仿宋" w:hAnsi="仿宋" w:eastAsia="仿宋" w:cs="仿宋"/>
          <w:snapToGrid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注：1.资金使用单位按项目绩效目标填报，主管部门汇总时按区域绩效目标填报。</w:t>
      </w:r>
    </w:p>
    <w:p>
      <w:pPr>
        <w:spacing w:line="300" w:lineRule="exact"/>
        <w:ind w:firstLine="480" w:firstLineChars="200"/>
        <w:rPr>
          <w:rFonts w:hint="eastAsia" w:ascii="仿宋" w:hAnsi="仿宋" w:eastAsia="仿宋" w:cs="仿宋"/>
          <w:snapToGrid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2.其他资金包括与中央财政资金、地方财政资金共同投入到同一项目的自有资</w:t>
      </w:r>
    </w:p>
    <w:p>
      <w:pPr>
        <w:spacing w:line="300" w:lineRule="exact"/>
        <w:ind w:left="240" w:leftChars="75" w:firstLine="360" w:firstLineChars="150"/>
        <w:rPr>
          <w:rFonts w:hint="eastAsia" w:ascii="仿宋" w:hAnsi="仿宋" w:eastAsia="仿宋" w:cs="仿宋"/>
          <w:snapToGrid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金社会资金，以及以前年度的结转结余资金等。</w:t>
      </w:r>
    </w:p>
    <w:p>
      <w:pPr>
        <w:spacing w:line="300" w:lineRule="exact"/>
        <w:ind w:firstLine="480" w:firstLineChars="200"/>
      </w:pP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3.全年执行数是指按照国库集中支付制度要求所形成的实际支出。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7A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63C31"/>
    <w:rsid w:val="2E341D33"/>
    <w:rsid w:val="34844633"/>
    <w:rsid w:val="38F2263C"/>
    <w:rsid w:val="48892837"/>
    <w:rsid w:val="5A6F1FBE"/>
    <w:rsid w:val="63DD45CE"/>
    <w:rsid w:val="76D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等线" w:hAnsi="等线" w:eastAsia="等线" w:cs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2023-07-27T07:06:10Z</dcterms:created>
  <dc:creator>Administrator</dc:creator>
  <cp:lastModifiedBy>Administrator</cp:lastModifiedBy>
  <dcterms:modified xsi:type="dcterms:W3CDTF">2023-07-27T07:06:26Z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