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s="Times New Roman"/>
          <w:snapToGrid w:val="0"/>
          <w:kern w:val="0"/>
          <w:szCs w:val="32"/>
        </w:rPr>
      </w:pPr>
      <w:r>
        <w:rPr>
          <w:rFonts w:hint="eastAsia" w:ascii="黑体" w:hAnsi="黑体" w:eastAsia="黑体" w:cs="Times New Roman"/>
          <w:snapToGrid w:val="0"/>
          <w:kern w:val="0"/>
          <w:szCs w:val="32"/>
        </w:rPr>
        <w:t>附件6</w:t>
      </w:r>
    </w:p>
    <w:p>
      <w:pPr>
        <w:adjustRightInd w:val="0"/>
        <w:snapToGrid w:val="0"/>
        <w:spacing w:line="600" w:lineRule="atLeast"/>
        <w:jc w:val="center"/>
        <w:rPr>
          <w:rFonts w:ascii="宋体" w:hAnsi="宋体" w:eastAsia="宋体" w:cs="宋体"/>
          <w:b/>
          <w:bCs/>
          <w:snapToGrid w:val="0"/>
          <w:kern w:val="0"/>
          <w:sz w:val="44"/>
          <w:szCs w:val="44"/>
        </w:rPr>
      </w:pPr>
      <w:r>
        <w:rPr>
          <w:rFonts w:hint="eastAsia" w:ascii="宋体" w:hAnsi="宋体" w:eastAsia="宋体" w:cs="宋体"/>
          <w:b/>
          <w:bCs/>
          <w:snapToGrid w:val="0"/>
          <w:kern w:val="0"/>
          <w:sz w:val="44"/>
          <w:szCs w:val="44"/>
        </w:rPr>
        <w:t>2023年“粮改饲”工作绩效评价指标表</w:t>
      </w:r>
    </w:p>
    <w:tbl>
      <w:tblPr>
        <w:tblStyle w:val="4"/>
        <w:tblW w:w="13457" w:type="dxa"/>
        <w:jc w:val="center"/>
        <w:tblLayout w:type="fixed"/>
        <w:tblCellMar>
          <w:top w:w="0" w:type="dxa"/>
          <w:left w:w="108" w:type="dxa"/>
          <w:bottom w:w="0" w:type="dxa"/>
          <w:right w:w="108" w:type="dxa"/>
        </w:tblCellMar>
      </w:tblPr>
      <w:tblGrid>
        <w:gridCol w:w="587"/>
        <w:gridCol w:w="701"/>
        <w:gridCol w:w="839"/>
        <w:gridCol w:w="981"/>
        <w:gridCol w:w="676"/>
        <w:gridCol w:w="3200"/>
        <w:gridCol w:w="5170"/>
        <w:gridCol w:w="666"/>
        <w:gridCol w:w="637"/>
      </w:tblGrid>
      <w:tr>
        <w:tblPrEx>
          <w:tblCellMar>
            <w:top w:w="0" w:type="dxa"/>
            <w:left w:w="108" w:type="dxa"/>
            <w:bottom w:w="0" w:type="dxa"/>
            <w:right w:w="108" w:type="dxa"/>
          </w:tblCellMar>
        </w:tblPrEx>
        <w:trPr>
          <w:trHeight w:val="90" w:hRule="atLeast"/>
          <w:tblHeader/>
          <w:jc w:val="center"/>
        </w:trPr>
        <w:tc>
          <w:tcPr>
            <w:tcW w:w="58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序号</w:t>
            </w:r>
          </w:p>
        </w:tc>
        <w:tc>
          <w:tcPr>
            <w:tcW w:w="2521"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评价指标</w:t>
            </w: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分值</w:t>
            </w:r>
          </w:p>
        </w:tc>
        <w:tc>
          <w:tcPr>
            <w:tcW w:w="320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指标解释</w:t>
            </w:r>
          </w:p>
        </w:tc>
        <w:tc>
          <w:tcPr>
            <w:tcW w:w="517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评价标准</w:t>
            </w:r>
          </w:p>
        </w:tc>
        <w:tc>
          <w:tcPr>
            <w:tcW w:w="66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自评</w:t>
            </w:r>
          </w:p>
          <w:p>
            <w:pPr>
              <w:jc w:val="center"/>
              <w:rPr>
                <w:rFonts w:hint="eastAsia" w:ascii="仿宋" w:hAnsi="仿宋" w:eastAsia="仿宋" w:cs="仿宋"/>
                <w:sz w:val="21"/>
                <w:szCs w:val="21"/>
              </w:rPr>
            </w:pPr>
            <w:r>
              <w:rPr>
                <w:rFonts w:hint="eastAsia" w:ascii="仿宋" w:hAnsi="仿宋" w:eastAsia="仿宋" w:cs="仿宋"/>
                <w:sz w:val="21"/>
                <w:szCs w:val="21"/>
              </w:rPr>
              <w:t>依据</w:t>
            </w:r>
          </w:p>
        </w:tc>
        <w:tc>
          <w:tcPr>
            <w:tcW w:w="63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自评</w:t>
            </w:r>
          </w:p>
          <w:p>
            <w:pPr>
              <w:jc w:val="center"/>
              <w:rPr>
                <w:rFonts w:hint="eastAsia" w:ascii="仿宋" w:hAnsi="仿宋" w:eastAsia="仿宋" w:cs="仿宋"/>
                <w:sz w:val="21"/>
                <w:szCs w:val="21"/>
              </w:rPr>
            </w:pPr>
            <w:r>
              <w:rPr>
                <w:rFonts w:hint="eastAsia" w:ascii="仿宋" w:hAnsi="仿宋" w:eastAsia="仿宋" w:cs="仿宋"/>
                <w:sz w:val="21"/>
                <w:szCs w:val="21"/>
              </w:rPr>
              <w:t>分数</w:t>
            </w:r>
          </w:p>
        </w:tc>
      </w:tr>
      <w:tr>
        <w:tblPrEx>
          <w:tblCellMar>
            <w:top w:w="0" w:type="dxa"/>
            <w:left w:w="108" w:type="dxa"/>
            <w:bottom w:w="0" w:type="dxa"/>
            <w:right w:w="108" w:type="dxa"/>
          </w:tblCellMar>
        </w:tblPrEx>
        <w:trPr>
          <w:trHeight w:val="90" w:hRule="atLeast"/>
          <w:tblHeader/>
          <w:jc w:val="center"/>
        </w:trPr>
        <w:tc>
          <w:tcPr>
            <w:tcW w:w="587"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70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一级</w:t>
            </w:r>
          </w:p>
          <w:p>
            <w:pPr>
              <w:jc w:val="center"/>
              <w:rPr>
                <w:rFonts w:hint="eastAsia" w:ascii="仿宋" w:hAnsi="仿宋" w:eastAsia="仿宋" w:cs="仿宋"/>
                <w:sz w:val="21"/>
                <w:szCs w:val="21"/>
              </w:rPr>
            </w:pPr>
            <w:r>
              <w:rPr>
                <w:rFonts w:hint="eastAsia" w:ascii="仿宋" w:hAnsi="仿宋" w:eastAsia="仿宋" w:cs="仿宋"/>
                <w:sz w:val="21"/>
                <w:szCs w:val="21"/>
              </w:rPr>
              <w:t>指标</w:t>
            </w:r>
          </w:p>
        </w:tc>
        <w:tc>
          <w:tcPr>
            <w:tcW w:w="839"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一级</w:t>
            </w:r>
          </w:p>
          <w:p>
            <w:pPr>
              <w:jc w:val="center"/>
              <w:rPr>
                <w:rFonts w:hint="eastAsia" w:ascii="仿宋" w:hAnsi="仿宋" w:eastAsia="仿宋" w:cs="仿宋"/>
                <w:sz w:val="21"/>
                <w:szCs w:val="21"/>
              </w:rPr>
            </w:pPr>
            <w:r>
              <w:rPr>
                <w:rFonts w:hint="eastAsia" w:ascii="仿宋" w:hAnsi="仿宋" w:eastAsia="仿宋" w:cs="仿宋"/>
                <w:sz w:val="21"/>
                <w:szCs w:val="21"/>
              </w:rPr>
              <w:t>指标</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三级</w:t>
            </w:r>
          </w:p>
          <w:p>
            <w:pPr>
              <w:jc w:val="center"/>
              <w:rPr>
                <w:rFonts w:hint="eastAsia" w:ascii="仿宋" w:hAnsi="仿宋" w:eastAsia="仿宋" w:cs="仿宋"/>
                <w:sz w:val="21"/>
                <w:szCs w:val="21"/>
              </w:rPr>
            </w:pPr>
            <w:r>
              <w:rPr>
                <w:rFonts w:hint="eastAsia" w:ascii="仿宋" w:hAnsi="仿宋" w:eastAsia="仿宋" w:cs="仿宋"/>
                <w:sz w:val="21"/>
                <w:szCs w:val="21"/>
              </w:rPr>
              <w:t>指标</w:t>
            </w:r>
          </w:p>
        </w:tc>
        <w:tc>
          <w:tcPr>
            <w:tcW w:w="676"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320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517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66"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70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投入和</w:t>
            </w:r>
          </w:p>
          <w:p>
            <w:pPr>
              <w:jc w:val="center"/>
              <w:rPr>
                <w:rFonts w:hint="eastAsia" w:ascii="仿宋" w:hAnsi="仿宋" w:eastAsia="仿宋" w:cs="仿宋"/>
                <w:sz w:val="21"/>
                <w:szCs w:val="21"/>
              </w:rPr>
            </w:pPr>
            <w:r>
              <w:rPr>
                <w:rFonts w:hint="eastAsia" w:ascii="仿宋" w:hAnsi="仿宋" w:eastAsia="仿宋" w:cs="仿宋"/>
                <w:sz w:val="21"/>
                <w:szCs w:val="21"/>
              </w:rPr>
              <w:t>过程</w:t>
            </w: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both"/>
              <w:rPr>
                <w:rFonts w:hint="eastAsia" w:ascii="仿宋" w:hAnsi="仿宋" w:eastAsia="仿宋" w:cs="仿宋"/>
                <w:sz w:val="21"/>
                <w:szCs w:val="21"/>
              </w:rPr>
            </w:pPr>
            <w:r>
              <w:rPr>
                <w:rFonts w:hint="eastAsia" w:ascii="仿宋" w:hAnsi="仿宋" w:eastAsia="仿宋" w:cs="仿宋"/>
                <w:sz w:val="21"/>
                <w:szCs w:val="21"/>
              </w:rPr>
              <w:t>投入和</w:t>
            </w:r>
          </w:p>
          <w:p>
            <w:pPr>
              <w:jc w:val="both"/>
              <w:rPr>
                <w:rFonts w:hint="eastAsia" w:ascii="仿宋" w:hAnsi="仿宋" w:eastAsia="仿宋" w:cs="仿宋"/>
                <w:sz w:val="21"/>
                <w:szCs w:val="21"/>
              </w:rPr>
            </w:pPr>
            <w:r>
              <w:rPr>
                <w:rFonts w:hint="eastAsia" w:ascii="仿宋" w:hAnsi="仿宋" w:eastAsia="仿宋" w:cs="仿宋"/>
                <w:sz w:val="21"/>
                <w:szCs w:val="21"/>
              </w:rPr>
              <w:t>过程</w:t>
            </w:r>
          </w:p>
        </w:tc>
        <w:tc>
          <w:tcPr>
            <w:tcW w:w="83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组织领导</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领导</w:t>
            </w:r>
          </w:p>
          <w:p>
            <w:pPr>
              <w:jc w:val="center"/>
              <w:rPr>
                <w:rFonts w:hint="eastAsia" w:ascii="仿宋" w:hAnsi="仿宋" w:eastAsia="仿宋" w:cs="仿宋"/>
                <w:sz w:val="21"/>
                <w:szCs w:val="21"/>
              </w:rPr>
            </w:pPr>
            <w:r>
              <w:rPr>
                <w:rFonts w:hint="eastAsia" w:ascii="仿宋" w:hAnsi="仿宋" w:eastAsia="仿宋" w:cs="仿宋"/>
                <w:sz w:val="21"/>
                <w:szCs w:val="21"/>
              </w:rPr>
              <w:t>机制</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是否建立“粮改饲”工作领导协调机制，职责是否清晰，任务是否明确。</w:t>
            </w:r>
          </w:p>
        </w:tc>
        <w:tc>
          <w:tcPr>
            <w:tcW w:w="517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建立“粮改饲”工作领导协调机制得1分，职责清晰得1分，任务明确得1分，否则不得分。</w:t>
            </w:r>
          </w:p>
        </w:tc>
        <w:tc>
          <w:tcPr>
            <w:tcW w:w="66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重视</w:t>
            </w:r>
          </w:p>
          <w:p>
            <w:pPr>
              <w:jc w:val="center"/>
              <w:rPr>
                <w:rFonts w:hint="eastAsia" w:ascii="仿宋" w:hAnsi="仿宋" w:eastAsia="仿宋" w:cs="仿宋"/>
                <w:sz w:val="21"/>
                <w:szCs w:val="21"/>
              </w:rPr>
            </w:pPr>
            <w:r>
              <w:rPr>
                <w:rFonts w:hint="eastAsia" w:ascii="仿宋" w:hAnsi="仿宋" w:eastAsia="仿宋" w:cs="仿宋"/>
                <w:sz w:val="21"/>
                <w:szCs w:val="21"/>
              </w:rPr>
              <w:t>程度</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地方政府是否重视并将“粮改饲”列入农牧部门年度重点工作。</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列入畜牧部门年度重点工作得3分，否则不得分。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资金管理</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资金</w:t>
            </w:r>
          </w:p>
          <w:p>
            <w:pPr>
              <w:jc w:val="center"/>
              <w:rPr>
                <w:rFonts w:hint="eastAsia" w:ascii="仿宋" w:hAnsi="仿宋" w:eastAsia="仿宋" w:cs="仿宋"/>
                <w:sz w:val="21"/>
                <w:szCs w:val="21"/>
              </w:rPr>
            </w:pPr>
            <w:r>
              <w:rPr>
                <w:rFonts w:hint="eastAsia" w:ascii="仿宋" w:hAnsi="仿宋" w:eastAsia="仿宋" w:cs="仿宋"/>
                <w:sz w:val="21"/>
                <w:szCs w:val="21"/>
              </w:rPr>
              <w:t>使用</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资金管理制度是否健全，资金使用是否符合有关要求。</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资金管理制度健全得1分，资金使用符合有关要求得3分，存在问题的每发现一处扣1分，扣完为止。</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资金</w:t>
            </w:r>
          </w:p>
          <w:p>
            <w:pPr>
              <w:jc w:val="center"/>
              <w:rPr>
                <w:rFonts w:hint="eastAsia" w:ascii="仿宋" w:hAnsi="仿宋" w:eastAsia="仿宋" w:cs="仿宋"/>
                <w:sz w:val="21"/>
                <w:szCs w:val="21"/>
              </w:rPr>
            </w:pPr>
            <w:r>
              <w:rPr>
                <w:rFonts w:hint="eastAsia" w:ascii="仿宋" w:hAnsi="仿宋" w:eastAsia="仿宋" w:cs="仿宋"/>
                <w:sz w:val="21"/>
                <w:szCs w:val="21"/>
              </w:rPr>
              <w:t>到位</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符合条件的项目补助资金是否全部核算发放到位。</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核发到位得2分，否则不得分。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项目管理</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实施</w:t>
            </w:r>
          </w:p>
          <w:p>
            <w:pPr>
              <w:jc w:val="center"/>
              <w:rPr>
                <w:rFonts w:hint="eastAsia" w:ascii="仿宋" w:hAnsi="仿宋" w:eastAsia="仿宋" w:cs="仿宋"/>
                <w:sz w:val="21"/>
                <w:szCs w:val="21"/>
              </w:rPr>
            </w:pPr>
            <w:r>
              <w:rPr>
                <w:rFonts w:hint="eastAsia" w:ascii="仿宋" w:hAnsi="仿宋" w:eastAsia="仿宋" w:cs="仿宋"/>
                <w:sz w:val="21"/>
                <w:szCs w:val="21"/>
              </w:rPr>
              <w:t>方案</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是否制定实施方案并按时报送省里备案，实施方案是否符合“粮改饲”总体思路和原则、可操作性强。</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制定实施方案并按时报送备案得1分，否则不得分；实施方案符合“粮改饲”总体思路和原则、可操作性强得4分，存在问题的每发现一处扣1分，扣完为止。</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监督</w:t>
            </w:r>
          </w:p>
          <w:p>
            <w:pPr>
              <w:jc w:val="center"/>
              <w:rPr>
                <w:rFonts w:hint="eastAsia" w:ascii="仿宋" w:hAnsi="仿宋" w:eastAsia="仿宋" w:cs="仿宋"/>
                <w:sz w:val="21"/>
                <w:szCs w:val="21"/>
              </w:rPr>
            </w:pPr>
            <w:r>
              <w:rPr>
                <w:rFonts w:hint="eastAsia" w:ascii="仿宋" w:hAnsi="仿宋" w:eastAsia="仿宋" w:cs="仿宋"/>
                <w:sz w:val="21"/>
                <w:szCs w:val="21"/>
              </w:rPr>
              <w:t>管理</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是否制定监督管理制度，制度是否全面完善，是否按计划组织项目督导检查和绩效评价，工作开展是否细致到位，是否按要求及时报送“粮改饲”进度信息。</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制定监督管理制度得1分，否则不得分；制度全面完善得1分，存在问题的每发现一处扣0.2分，扣完为止；按计划组织督导检查和绩效评价，工作开展细致到位得3分，存在问题的每发现一处扣1分，扣完为止；按要求及时报送工作进度信息得2分，否则不得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7</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培训</w:t>
            </w:r>
          </w:p>
          <w:p>
            <w:pPr>
              <w:jc w:val="center"/>
              <w:rPr>
                <w:rFonts w:hint="eastAsia" w:ascii="仿宋" w:hAnsi="仿宋" w:eastAsia="仿宋" w:cs="仿宋"/>
                <w:sz w:val="21"/>
                <w:szCs w:val="21"/>
              </w:rPr>
            </w:pPr>
            <w:r>
              <w:rPr>
                <w:rFonts w:hint="eastAsia" w:ascii="仿宋" w:hAnsi="仿宋" w:eastAsia="仿宋" w:cs="仿宋"/>
                <w:sz w:val="21"/>
                <w:szCs w:val="21"/>
              </w:rPr>
              <w:t>推广</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是否组织开展技术推广服务和培训，是否组织有关单位深入一线指导生产作业、开展技术培训。</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组织开展技术推广服务和培训得1分，否则不得分；组织有关单位深入一线指导生产作业、开展技术培训，范围基本覆盖种养及收贮主体、效果好得2分，否则酌情扣分。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宣传总结</w:t>
            </w:r>
          </w:p>
        </w:tc>
        <w:tc>
          <w:tcPr>
            <w:tcW w:w="98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宣传</w:t>
            </w:r>
          </w:p>
          <w:p>
            <w:pPr>
              <w:jc w:val="center"/>
              <w:rPr>
                <w:rFonts w:hint="eastAsia" w:ascii="仿宋" w:hAnsi="仿宋" w:eastAsia="仿宋" w:cs="仿宋"/>
                <w:sz w:val="21"/>
                <w:szCs w:val="21"/>
              </w:rPr>
            </w:pPr>
            <w:r>
              <w:rPr>
                <w:rFonts w:hint="eastAsia" w:ascii="仿宋" w:hAnsi="仿宋" w:eastAsia="仿宋" w:cs="仿宋"/>
                <w:sz w:val="21"/>
                <w:szCs w:val="21"/>
              </w:rPr>
              <w:t>报道</w:t>
            </w:r>
          </w:p>
        </w:tc>
        <w:tc>
          <w:tcPr>
            <w:tcW w:w="6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20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是否重视宣传工作并积极组织媒体进行报道。</w:t>
            </w:r>
          </w:p>
        </w:tc>
        <w:tc>
          <w:tcPr>
            <w:tcW w:w="517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组织媒体进行报道得2分，有关工作被县级媒体正面报道得2分，否则不得分。</w:t>
            </w:r>
          </w:p>
          <w:p>
            <w:pPr>
              <w:rPr>
                <w:rFonts w:hint="eastAsia" w:ascii="仿宋" w:hAnsi="仿宋" w:eastAsia="仿宋" w:cs="仿宋"/>
                <w:sz w:val="21"/>
                <w:szCs w:val="21"/>
              </w:rPr>
            </w:pPr>
            <w:r>
              <w:rPr>
                <w:rFonts w:hint="eastAsia" w:ascii="仿宋" w:hAnsi="仿宋" w:eastAsia="仿宋" w:cs="仿宋"/>
                <w:sz w:val="21"/>
                <w:szCs w:val="21"/>
              </w:rPr>
              <w:t>本项工作设加分项2分：有关工作被省级媒体正面宣传报道加2分。</w:t>
            </w:r>
          </w:p>
        </w:tc>
        <w:tc>
          <w:tcPr>
            <w:tcW w:w="66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9</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经验</w:t>
            </w:r>
          </w:p>
          <w:p>
            <w:pPr>
              <w:jc w:val="center"/>
              <w:rPr>
                <w:rFonts w:hint="eastAsia" w:ascii="仿宋" w:hAnsi="仿宋" w:eastAsia="仿宋" w:cs="仿宋"/>
                <w:sz w:val="21"/>
                <w:szCs w:val="21"/>
              </w:rPr>
            </w:pPr>
            <w:r>
              <w:rPr>
                <w:rFonts w:hint="eastAsia" w:ascii="仿宋" w:hAnsi="仿宋" w:eastAsia="仿宋" w:cs="仿宋"/>
                <w:sz w:val="21"/>
                <w:szCs w:val="21"/>
              </w:rPr>
              <w:t>总结</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是否及时总结成功模式，挖掘亮点、树立典型，是否按要求报送绩效自评报告和工作总结。</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能够及时总结成功模式，挖掘亮点、树立典型得2分，按要求及时报送绩效自评报告得1分，报送工作总结得1分，否则不得分。</w:t>
            </w:r>
          </w:p>
          <w:p>
            <w:pPr>
              <w:rPr>
                <w:rFonts w:hint="eastAsia" w:ascii="仿宋" w:hAnsi="仿宋" w:eastAsia="仿宋" w:cs="仿宋"/>
                <w:sz w:val="21"/>
                <w:szCs w:val="21"/>
              </w:rPr>
            </w:pPr>
            <w:r>
              <w:rPr>
                <w:rFonts w:hint="eastAsia" w:ascii="仿宋" w:hAnsi="仿宋" w:eastAsia="仿宋" w:cs="仿宋"/>
                <w:sz w:val="21"/>
                <w:szCs w:val="21"/>
              </w:rPr>
              <w:t>本项工作设加分项4分：“粮改饲”典型经验在国家层面进行推广介绍加2分；工作成效得到省部级领导肯定批示加2分，得到党和国家领导人肯定批示加4分，批示加分不累加，最高4分。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机制创新</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政策</w:t>
            </w:r>
          </w:p>
          <w:p>
            <w:pPr>
              <w:jc w:val="center"/>
              <w:rPr>
                <w:rFonts w:hint="eastAsia" w:ascii="仿宋" w:hAnsi="仿宋" w:eastAsia="仿宋" w:cs="仿宋"/>
                <w:sz w:val="21"/>
                <w:szCs w:val="21"/>
              </w:rPr>
            </w:pPr>
            <w:r>
              <w:rPr>
                <w:rFonts w:hint="eastAsia" w:ascii="仿宋" w:hAnsi="仿宋" w:eastAsia="仿宋" w:cs="仿宋"/>
                <w:sz w:val="21"/>
                <w:szCs w:val="21"/>
              </w:rPr>
              <w:t>联动</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是否在财政支持、产业扶贫等政策联动上有新突破。</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有创新得2分，否则不得分。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11</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激发</w:t>
            </w:r>
          </w:p>
          <w:p>
            <w:pPr>
              <w:jc w:val="center"/>
              <w:rPr>
                <w:rFonts w:hint="eastAsia" w:ascii="仿宋" w:hAnsi="仿宋" w:eastAsia="仿宋" w:cs="仿宋"/>
                <w:sz w:val="21"/>
                <w:szCs w:val="21"/>
              </w:rPr>
            </w:pPr>
            <w:r>
              <w:rPr>
                <w:rFonts w:hint="eastAsia" w:ascii="仿宋" w:hAnsi="仿宋" w:eastAsia="仿宋" w:cs="仿宋"/>
                <w:sz w:val="21"/>
                <w:szCs w:val="21"/>
              </w:rPr>
              <w:t>积极性</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是否在激发收贮主体参与积极性上有新方式。</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有创新得2分，否则不得分。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12</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协调</w:t>
            </w:r>
          </w:p>
          <w:p>
            <w:pPr>
              <w:jc w:val="center"/>
              <w:rPr>
                <w:rFonts w:hint="eastAsia" w:ascii="仿宋" w:hAnsi="仿宋" w:eastAsia="仿宋" w:cs="仿宋"/>
                <w:sz w:val="21"/>
                <w:szCs w:val="21"/>
              </w:rPr>
            </w:pPr>
            <w:r>
              <w:rPr>
                <w:rFonts w:hint="eastAsia" w:ascii="仿宋" w:hAnsi="仿宋" w:eastAsia="仿宋" w:cs="仿宋"/>
                <w:sz w:val="21"/>
                <w:szCs w:val="21"/>
              </w:rPr>
              <w:t>发展</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是否在促进一二三产业融合、种养两端绿色协调发展上有新手段。</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有创新得2分，否则不得分。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13</w:t>
            </w: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其他</w:t>
            </w:r>
          </w:p>
          <w:p>
            <w:pPr>
              <w:jc w:val="center"/>
              <w:rPr>
                <w:rFonts w:hint="eastAsia" w:ascii="仿宋" w:hAnsi="仿宋" w:eastAsia="仿宋" w:cs="仿宋"/>
                <w:sz w:val="21"/>
                <w:szCs w:val="21"/>
              </w:rPr>
            </w:pPr>
            <w:r>
              <w:rPr>
                <w:rFonts w:hint="eastAsia" w:ascii="仿宋" w:hAnsi="仿宋" w:eastAsia="仿宋" w:cs="仿宋"/>
                <w:sz w:val="21"/>
                <w:szCs w:val="21"/>
              </w:rPr>
              <w:t>创新</w:t>
            </w:r>
          </w:p>
        </w:tc>
        <w:tc>
          <w:tcPr>
            <w:tcW w:w="6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320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是否在“粮改饲”工作方法、制度机制等方面有其他创新。</w:t>
            </w:r>
          </w:p>
        </w:tc>
        <w:tc>
          <w:tcPr>
            <w:tcW w:w="517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有创新并且取得一定效果、有实例、可复制得4分，否则不得分。</w:t>
            </w:r>
          </w:p>
        </w:tc>
        <w:tc>
          <w:tcPr>
            <w:tcW w:w="66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14</w:t>
            </w:r>
          </w:p>
        </w:tc>
        <w:tc>
          <w:tcPr>
            <w:tcW w:w="701"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产出</w:t>
            </w: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产出</w:t>
            </w:r>
          </w:p>
        </w:tc>
        <w:tc>
          <w:tcPr>
            <w:tcW w:w="83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数量指标</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饲草料</w:t>
            </w:r>
          </w:p>
          <w:p>
            <w:pPr>
              <w:jc w:val="center"/>
              <w:rPr>
                <w:rFonts w:hint="eastAsia" w:ascii="仿宋" w:hAnsi="仿宋" w:eastAsia="仿宋" w:cs="仿宋"/>
                <w:sz w:val="21"/>
                <w:szCs w:val="21"/>
              </w:rPr>
            </w:pPr>
            <w:r>
              <w:rPr>
                <w:rFonts w:hint="eastAsia" w:ascii="仿宋" w:hAnsi="仿宋" w:eastAsia="仿宋" w:cs="仿宋"/>
                <w:sz w:val="21"/>
                <w:szCs w:val="21"/>
              </w:rPr>
              <w:t>收贮</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是否完成饲草料收储任务。</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完成收贮目标任务量得10分；完成数量每少3%扣1分，扣完为止。（注：每少3%扣1分指较目标少3%（含）以内扣1分，少3%至6%（含）扣2分，以此类推，下同。）</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15</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“粮改饲”面积</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是否完成“粮改饲”面积任务。</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完成“粮改饲”面积目标任务得10分；完成数量每少3%扣1分，扣完为止。</w:t>
            </w:r>
            <w:r>
              <w:rPr>
                <w:rFonts w:hint="eastAsia" w:ascii="仿宋" w:hAnsi="仿宋" w:eastAsia="仿宋" w:cs="仿宋"/>
                <w:sz w:val="21"/>
                <w:szCs w:val="21"/>
              </w:rPr>
              <w:br w:type="textWrapping"/>
            </w:r>
            <w:r>
              <w:rPr>
                <w:rFonts w:hint="eastAsia" w:ascii="仿宋" w:hAnsi="仿宋" w:eastAsia="仿宋" w:cs="仿宋"/>
                <w:sz w:val="21"/>
                <w:szCs w:val="21"/>
              </w:rPr>
              <w:t>本项工作设加分项2分：超额完成面积目标5%（含）至10%加1分，超过10%（含）以上加2分。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16</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质量指标</w:t>
            </w: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p>
          <w:p>
            <w:pPr>
              <w:jc w:val="center"/>
              <w:rPr>
                <w:rFonts w:hint="eastAsia" w:ascii="仿宋" w:hAnsi="仿宋" w:eastAsia="仿宋" w:cs="仿宋"/>
                <w:sz w:val="21"/>
                <w:szCs w:val="21"/>
              </w:rPr>
            </w:pPr>
            <w:r>
              <w:rPr>
                <w:rFonts w:hint="eastAsia" w:ascii="仿宋" w:hAnsi="仿宋" w:eastAsia="仿宋" w:cs="仿宋"/>
                <w:sz w:val="21"/>
                <w:szCs w:val="21"/>
              </w:rPr>
              <w:t>质量指标</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养殖规模化发展水平</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项目地区规模化养殖场户（肉羊年出栏100只以上、肉牛年出栏50头以上、奶牛年存栏100头以上）和专业收贮主体收贮量占收贮总量的比例。</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超过50%（含）以上得5分；达不到50%的，每少5%扣0.5分。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17</w:t>
            </w:r>
          </w:p>
        </w:tc>
        <w:tc>
          <w:tcPr>
            <w:tcW w:w="70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收贮专业化发展水平</w:t>
            </w:r>
          </w:p>
        </w:tc>
        <w:tc>
          <w:tcPr>
            <w:tcW w:w="6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320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专业收贮主体收贮量较上年度提高比例。</w:t>
            </w:r>
          </w:p>
        </w:tc>
        <w:tc>
          <w:tcPr>
            <w:tcW w:w="517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提高10%（含）以上得3分，提高5%（含）至10%得1分，否则不得分。</w:t>
            </w:r>
          </w:p>
        </w:tc>
        <w:tc>
          <w:tcPr>
            <w:tcW w:w="66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18</w:t>
            </w:r>
          </w:p>
        </w:tc>
        <w:tc>
          <w:tcPr>
            <w:tcW w:w="701"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种养结合紧密度</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收贮主体通过流转土地自种、与种植户签订订单等方式收贮量占总收贮量比例。</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超过50%（含）以上得5分；达不到50%的，每少5%扣0.5分。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19</w:t>
            </w:r>
          </w:p>
        </w:tc>
        <w:tc>
          <w:tcPr>
            <w:tcW w:w="701" w:type="dxa"/>
            <w:vMerge w:val="restart"/>
            <w:tcBorders>
              <w:top w:val="nil"/>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效果</w:t>
            </w:r>
          </w:p>
        </w:tc>
        <w:tc>
          <w:tcPr>
            <w:tcW w:w="839"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经济效益指标</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种植</w:t>
            </w:r>
          </w:p>
          <w:p>
            <w:pPr>
              <w:jc w:val="center"/>
              <w:rPr>
                <w:rFonts w:hint="eastAsia" w:ascii="仿宋" w:hAnsi="仿宋" w:eastAsia="仿宋" w:cs="仿宋"/>
                <w:sz w:val="21"/>
                <w:szCs w:val="21"/>
              </w:rPr>
            </w:pPr>
            <w:r>
              <w:rPr>
                <w:rFonts w:hint="eastAsia" w:ascii="仿宋" w:hAnsi="仿宋" w:eastAsia="仿宋" w:cs="仿宋"/>
                <w:sz w:val="21"/>
                <w:szCs w:val="21"/>
              </w:rPr>
              <w:t>效益</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种植优质青贮饲草料，亩均纯收入较种植籽粒玉米提高比例。</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提高10%（含）以上得6分；低于10%的，按提高比例除以10%乘以6分计分，未提高不得分。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20</w:t>
            </w:r>
          </w:p>
        </w:tc>
        <w:tc>
          <w:tcPr>
            <w:tcW w:w="701" w:type="dxa"/>
            <w:vMerge w:val="continue"/>
            <w:tcBorders>
              <w:top w:val="nil"/>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养殖</w:t>
            </w:r>
          </w:p>
          <w:p>
            <w:pPr>
              <w:jc w:val="center"/>
              <w:rPr>
                <w:rFonts w:hint="eastAsia" w:ascii="仿宋" w:hAnsi="仿宋" w:eastAsia="仿宋" w:cs="仿宋"/>
                <w:sz w:val="21"/>
                <w:szCs w:val="21"/>
              </w:rPr>
            </w:pPr>
            <w:r>
              <w:rPr>
                <w:rFonts w:hint="eastAsia" w:ascii="仿宋" w:hAnsi="仿宋" w:eastAsia="仿宋" w:cs="仿宋"/>
                <w:sz w:val="21"/>
                <w:szCs w:val="21"/>
              </w:rPr>
              <w:t>效益</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使用优质青贮饲草料，较未使用前或与同地区未使用的相比，综合饲料成本下降比例。</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下降5%（含）以上得6分；低于5%的，按下降比例除以5%乘以6分计分，未下降不得分。</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21</w:t>
            </w:r>
          </w:p>
        </w:tc>
        <w:tc>
          <w:tcPr>
            <w:tcW w:w="701" w:type="dxa"/>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 w:val="21"/>
                <w:szCs w:val="21"/>
              </w:rPr>
            </w:pPr>
          </w:p>
        </w:tc>
        <w:tc>
          <w:tcPr>
            <w:tcW w:w="839"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服务对象满意度指标</w:t>
            </w:r>
          </w:p>
        </w:tc>
        <w:tc>
          <w:tcPr>
            <w:tcW w:w="981"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相关主体对政策的满意度</w:t>
            </w:r>
          </w:p>
        </w:tc>
        <w:tc>
          <w:tcPr>
            <w:tcW w:w="67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10</w:t>
            </w:r>
          </w:p>
        </w:tc>
        <w:tc>
          <w:tcPr>
            <w:tcW w:w="320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反映相关主体（收贮户、种植户和养殖户）对“粮改饲”政策的满意程度，用百分比来衡量，数据通过问卷调查形式获得。</w:t>
            </w:r>
          </w:p>
        </w:tc>
        <w:tc>
          <w:tcPr>
            <w:tcW w:w="5170" w:type="dxa"/>
            <w:tcBorders>
              <w:top w:val="single" w:color="auto" w:sz="4" w:space="0"/>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得分  调查问卷满意度+5分。</w:t>
            </w:r>
          </w:p>
        </w:tc>
        <w:tc>
          <w:tcPr>
            <w:tcW w:w="666"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90" w:hRule="atLeast"/>
          <w:jc w:val="center"/>
        </w:trPr>
        <w:tc>
          <w:tcPr>
            <w:tcW w:w="587" w:type="dxa"/>
            <w:tcBorders>
              <w:top w:val="nil"/>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22</w:t>
            </w:r>
          </w:p>
        </w:tc>
        <w:tc>
          <w:tcPr>
            <w:tcW w:w="70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扣分项</w:t>
            </w:r>
          </w:p>
        </w:tc>
        <w:tc>
          <w:tcPr>
            <w:tcW w:w="839"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违规违纪</w:t>
            </w:r>
          </w:p>
        </w:tc>
        <w:tc>
          <w:tcPr>
            <w:tcW w:w="981"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违规</w:t>
            </w:r>
          </w:p>
          <w:p>
            <w:pPr>
              <w:jc w:val="center"/>
              <w:rPr>
                <w:rFonts w:hint="eastAsia" w:ascii="仿宋" w:hAnsi="仿宋" w:eastAsia="仿宋" w:cs="仿宋"/>
                <w:sz w:val="21"/>
                <w:szCs w:val="21"/>
              </w:rPr>
            </w:pPr>
            <w:r>
              <w:rPr>
                <w:rFonts w:hint="eastAsia" w:ascii="仿宋" w:hAnsi="仿宋" w:eastAsia="仿宋" w:cs="仿宋"/>
                <w:sz w:val="21"/>
                <w:szCs w:val="21"/>
              </w:rPr>
              <w:t>违纪</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w:t>
            </w: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项目实施过程中是否存在违规违纪行为。</w:t>
            </w: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r>
              <w:rPr>
                <w:rFonts w:hint="eastAsia" w:ascii="仿宋" w:hAnsi="仿宋" w:eastAsia="仿宋" w:cs="仿宋"/>
                <w:sz w:val="21"/>
                <w:szCs w:val="21"/>
              </w:rPr>
              <w:t>被监察、审计、财政监督等机构查出存在违规违纪行为的，一次性扣15-30分，造成严重负面影响的，评分为0。</w:t>
            </w: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597" w:hRule="atLeast"/>
          <w:jc w:val="center"/>
        </w:trPr>
        <w:tc>
          <w:tcPr>
            <w:tcW w:w="310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合计</w:t>
            </w:r>
          </w:p>
        </w:tc>
        <w:tc>
          <w:tcPr>
            <w:tcW w:w="67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320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p>
        </w:tc>
        <w:tc>
          <w:tcPr>
            <w:tcW w:w="5170" w:type="dxa"/>
            <w:tcBorders>
              <w:top w:val="nil"/>
              <w:left w:val="nil"/>
              <w:bottom w:val="single" w:color="auto" w:sz="4" w:space="0"/>
              <w:right w:val="single" w:color="auto" w:sz="4" w:space="0"/>
            </w:tcBorders>
            <w:noWrap w:val="0"/>
            <w:vAlign w:val="top"/>
          </w:tcPr>
          <w:p>
            <w:pPr>
              <w:rPr>
                <w:rFonts w:hint="eastAsia" w:ascii="仿宋" w:hAnsi="仿宋" w:eastAsia="仿宋" w:cs="仿宋"/>
                <w:sz w:val="21"/>
                <w:szCs w:val="21"/>
              </w:rPr>
            </w:pPr>
          </w:p>
        </w:tc>
        <w:tc>
          <w:tcPr>
            <w:tcW w:w="666"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c>
          <w:tcPr>
            <w:tcW w:w="637" w:type="dxa"/>
            <w:tcBorders>
              <w:top w:val="nil"/>
              <w:left w:val="nil"/>
              <w:bottom w:val="single" w:color="auto" w:sz="4" w:space="0"/>
              <w:right w:val="single" w:color="auto" w:sz="4" w:space="0"/>
            </w:tcBorders>
            <w:noWrap w:val="0"/>
            <w:vAlign w:val="center"/>
          </w:tcPr>
          <w:p>
            <w:pPr>
              <w:jc w:val="center"/>
              <w:rPr>
                <w:rFonts w:hint="eastAsia" w:ascii="仿宋" w:hAnsi="仿宋" w:eastAsia="仿宋" w:cs="仿宋"/>
                <w:sz w:val="21"/>
                <w:szCs w:val="21"/>
              </w:rPr>
            </w:pPr>
          </w:p>
        </w:tc>
      </w:tr>
    </w:tbl>
    <w:p>
      <w:pPr>
        <w:spacing w:line="300" w:lineRule="exac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注：①自评依据一栏应根据评分标准详细说明指标完成情况和相应工作开展情况。</w:t>
      </w:r>
    </w:p>
    <w:p>
      <w:pPr>
        <w:spacing w:line="300" w:lineRule="exact"/>
        <w:ind w:left="720" w:leftChars="150" w:hanging="240" w:hangingChars="100"/>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②请将相关证明材料随本表一起报送省畜牧业管理局和省财政厅，相关证明材料指为完成指标、开展工作出台的通知</w:t>
      </w:r>
      <w:r>
        <w:rPr>
          <w:rFonts w:hint="eastAsia" w:ascii="仿宋" w:hAnsi="仿宋" w:eastAsia="仿宋" w:cs="仿宋"/>
          <w:snapToGrid w:val="0"/>
          <w:kern w:val="0"/>
          <w:sz w:val="24"/>
          <w:szCs w:val="24"/>
          <w:lang w:eastAsia="zh-CN"/>
        </w:rPr>
        <w:t>、</w:t>
      </w:r>
      <w:r>
        <w:rPr>
          <w:rFonts w:hint="eastAsia" w:ascii="仿宋" w:hAnsi="仿宋" w:eastAsia="仿宋" w:cs="仿宋"/>
          <w:snapToGrid w:val="0"/>
          <w:kern w:val="0"/>
          <w:sz w:val="24"/>
          <w:szCs w:val="24"/>
          <w:lang w:val="en-US" w:eastAsia="zh-CN"/>
        </w:rPr>
        <w:t xml:space="preserve"> </w:t>
      </w:r>
      <w:r>
        <w:rPr>
          <w:rFonts w:hint="eastAsia" w:ascii="仿宋" w:hAnsi="仿宋" w:eastAsia="仿宋" w:cs="仿宋"/>
          <w:snapToGrid w:val="0"/>
          <w:kern w:val="0"/>
          <w:sz w:val="24"/>
          <w:szCs w:val="24"/>
        </w:rPr>
        <w:t>办法、制度以及其他能够证明工作成效的文件。</w:t>
      </w: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7A"/>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15</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D91714"/>
    <w:rsid w:val="4D120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等线" w:hAnsi="等线" w:eastAsia="等线" w:cs="Times New Roman"/>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2023-07-27T07:05:00Z</dcterms:created>
  <dc:creator>Administrator</dc:creator>
  <cp:lastModifiedBy>Administrator</cp:lastModifiedBy>
  <dcterms:modified xsi:type="dcterms:W3CDTF">2023-07-27T07:08:25Z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